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D3" w:rsidRDefault="00DC2340">
      <w:pPr>
        <w:tabs>
          <w:tab w:val="left" w:pos="14339"/>
        </w:tabs>
        <w:ind w:left="96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</w:rPr>
        <w:drawing>
          <wp:inline distT="0" distB="0" distL="0" distR="0">
            <wp:extent cx="65048" cy="65341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48" cy="65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noProof/>
          <w:sz w:val="3"/>
          <w:szCs w:val="3"/>
          <w:vertAlign w:val="superscript"/>
        </w:rPr>
        <mc:AlternateContent>
          <mc:Choice Requires="wpg">
            <w:drawing>
              <wp:inline distT="0" distB="0" distL="0" distR="0">
                <wp:extent cx="4445" cy="3810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" cy="3810"/>
                          <a:chOff x="5343778" y="3778095"/>
                          <a:chExt cx="4445" cy="381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343778" y="3778095"/>
                            <a:ext cx="4445" cy="3810"/>
                            <a:chOff x="0" y="0"/>
                            <a:chExt cx="7" cy="6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E6ED3" w:rsidRDefault="005E6ED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" name="Freeform 3"/>
                          <wps:cNvSpPr/>
                          <wps:spPr>
                            <a:xfrm>
                              <a:off x="0" y="0"/>
                              <a:ext cx="7" cy="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" h="6" extrusionOk="0">
                                  <a:moveTo>
                                    <a:pt x="2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>
                                <a:alpha val="2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style="width:.35pt;height:.3pt;mso-position-horizontal-relative:char;mso-position-vertical-relative:line" coordorigin="53437,37780" coordsize="44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">
                <v:group id="Group 1" o:spid="_x0000_s1027" style="position:absolute;left:53437;top:37780;width:45;height:39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5E6ED3" w:rsidRDefault="005E6ED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3" o:spid="_x0000_s1029" style="position:absolute;width:7;height:6;visibility:visible;mso-wrap-style:square;v-text-anchor:middle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" path="m2,l,4,4,6,6,2,2,xe" fillcolor="#b2b2b2" stroked="f">
                    <v:fill opacity="19532f"/>
                    <v:path arrowok="t" o:extrusionok="f"/>
                  </v:shape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7378700</wp:posOffset>
                </wp:positionH>
                <wp:positionV relativeFrom="paragraph">
                  <wp:posOffset>342900</wp:posOffset>
                </wp:positionV>
                <wp:extent cx="53975" cy="54610"/>
                <wp:effectExtent l="0" t="0" r="0" b="0"/>
                <wp:wrapSquare wrapText="bothSides" distT="0" distB="0" distL="0" distR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3775" y="3757458"/>
                          <a:ext cx="4445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" h="71" extrusionOk="0">
                              <a:moveTo>
                                <a:pt x="38" y="0"/>
                              </a:moveTo>
                              <a:lnTo>
                                <a:pt x="24" y="1"/>
                              </a:lnTo>
                              <a:lnTo>
                                <a:pt x="12" y="8"/>
                              </a:lnTo>
                              <a:lnTo>
                                <a:pt x="4" y="18"/>
                              </a:lnTo>
                              <a:lnTo>
                                <a:pt x="0" y="31"/>
                              </a:lnTo>
                              <a:lnTo>
                                <a:pt x="1" y="45"/>
                              </a:lnTo>
                              <a:lnTo>
                                <a:pt x="8" y="58"/>
                              </a:lnTo>
                              <a:lnTo>
                                <a:pt x="19" y="66"/>
                              </a:lnTo>
                              <a:lnTo>
                                <a:pt x="32" y="70"/>
                              </a:lnTo>
                              <a:lnTo>
                                <a:pt x="46" y="69"/>
                              </a:lnTo>
                              <a:lnTo>
                                <a:pt x="58" y="62"/>
                              </a:lnTo>
                              <a:lnTo>
                                <a:pt x="66" y="51"/>
                              </a:lnTo>
                              <a:lnTo>
                                <a:pt x="70" y="38"/>
                              </a:lnTo>
                              <a:lnTo>
                                <a:pt x="68" y="24"/>
                              </a:lnTo>
                              <a:lnTo>
                                <a:pt x="62" y="12"/>
                              </a:lnTo>
                              <a:lnTo>
                                <a:pt x="51" y="4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2B2">
                            <a:alpha val="29803"/>
                          </a:srgbClr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BDC8BF5" id="Freeform 1" o:spid="_x0000_s1026" style="position:absolute;margin-left:581pt;margin-top:27pt;width:4.25pt;height:4.3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7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" path="m38,l24,1,12,8,4,18,,31,1,45,8,58r11,8l32,70,46,69,58,62,66,51,70,38,68,24,62,12,51,4,38,xe" fillcolor="#b2b2b2" stroked="f">
                <v:fill opacity="19532f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-317499</wp:posOffset>
                </wp:positionV>
                <wp:extent cx="12700" cy="381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3778" y="3778095"/>
                          <a:ext cx="4445" cy="3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" h="6" extrusionOk="0">
                              <a:moveTo>
                                <a:pt x="3" y="0"/>
                              </a:moveTo>
                              <a:lnTo>
                                <a:pt x="0" y="4"/>
                              </a:lnTo>
                              <a:lnTo>
                                <a:pt x="4" y="6"/>
                              </a:lnTo>
                              <a:lnTo>
                                <a:pt x="7" y="2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2B2">
                            <a:alpha val="29803"/>
                          </a:srgbClr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22D3074" id="Freeform 5" o:spid="_x0000_s1026" style="position:absolute;margin-left:729pt;margin-top:-25pt;width:1pt;height: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" path="m3,l,4,4,6,7,2,3,xe" fillcolor="#b2b2b2" stroked="f">
                <v:fill opacity="19532f"/>
                <v:path arrowok="t" o:extrusionok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7975600</wp:posOffset>
                </wp:positionH>
                <wp:positionV relativeFrom="paragraph">
                  <wp:posOffset>-406399</wp:posOffset>
                </wp:positionV>
                <wp:extent cx="12700" cy="444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3778" y="3777778"/>
                          <a:ext cx="4445" cy="4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" h="7" extrusionOk="0">
                              <a:moveTo>
                                <a:pt x="1" y="0"/>
                              </a:moveTo>
                              <a:lnTo>
                                <a:pt x="0" y="4"/>
                              </a:lnTo>
                              <a:lnTo>
                                <a:pt x="4" y="6"/>
                              </a:lnTo>
                              <a:lnTo>
                                <a:pt x="6" y="2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2B2">
                            <a:alpha val="29803"/>
                          </a:srgbClr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57E703F9" id="Freeform 2" o:spid="_x0000_s1026" style="position:absolute;margin-left:628pt;margin-top:-32pt;width:1pt;height: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" path="m1,l,4,4,6,6,2,1,xe" fillcolor="#b2b2b2" stroked="f">
                <v:fill opacity="19532f"/>
                <v:path arrowok="t" o:extrusionok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-393699</wp:posOffset>
                </wp:positionV>
                <wp:extent cx="12700" cy="381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3778" y="3778095"/>
                          <a:ext cx="4445" cy="3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" h="6" extrusionOk="0">
                              <a:moveTo>
                                <a:pt x="2" y="0"/>
                              </a:moveTo>
                              <a:lnTo>
                                <a:pt x="0" y="4"/>
                              </a:lnTo>
                              <a:lnTo>
                                <a:pt x="4" y="6"/>
                              </a:lnTo>
                              <a:lnTo>
                                <a:pt x="6" y="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2B2">
                            <a:alpha val="29803"/>
                          </a:srgbClr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A44DE3D" id="Freeform 3" o:spid="_x0000_s1026" style="position:absolute;margin-left:551pt;margin-top:-31pt;width:1pt;height: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" path="m2,l,4,4,6,6,2,2,xe" fillcolor="#b2b2b2" stroked="f">
                <v:fill opacity="19532f"/>
                <v:path arrowok="t" o:extrusionok="f"/>
              </v:shape>
            </w:pict>
          </mc:Fallback>
        </mc:AlternateContent>
      </w:r>
    </w:p>
    <w:p w:rsidR="00AF7B4F" w:rsidRDefault="00AF7B4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  <w:sectPr w:rsidR="00AF7B4F">
          <w:headerReference w:type="default" r:id="rId7"/>
          <w:footerReference w:type="default" r:id="rId8"/>
          <w:pgSz w:w="15840" w:h="12240"/>
          <w:pgMar w:top="576" w:right="604" w:bottom="431" w:left="806" w:header="0" w:footer="720" w:gutter="0"/>
          <w:pgNumType w:start="1"/>
          <w:cols w:space="720"/>
        </w:sectPr>
      </w:pPr>
    </w:p>
    <w:p w:rsidR="005E6ED3" w:rsidRDefault="00DC234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Organization Name from Official Program Summary:</w:t>
      </w:r>
      <w:r w:rsidR="00AF7B4F">
        <w:rPr>
          <w:b/>
          <w:sz w:val="24"/>
          <w:szCs w:val="24"/>
        </w:rPr>
        <w:t xml:space="preserve"> </w:t>
      </w:r>
      <w:sdt>
        <w:sdtPr>
          <w:rPr>
            <w:rStyle w:val="Style3"/>
          </w:rPr>
          <w:alias w:val="Org Name"/>
          <w:tag w:val="Org Name"/>
          <w:id w:val="-1943131319"/>
          <w:placeholder>
            <w:docPart w:val="ECEA843F65794B9E95BC6D6315597773"/>
          </w:placeholder>
          <w:showingPlcHdr/>
        </w:sdtPr>
        <w:sdtEndPr>
          <w:rPr>
            <w:rStyle w:val="DefaultParagraphFont"/>
            <w:b/>
            <w:sz w:val="24"/>
            <w:szCs w:val="24"/>
            <w:u w:val="none"/>
          </w:rPr>
        </w:sdtEndPr>
        <w:sdtContent>
          <w:r w:rsidR="00AF7B4F" w:rsidRPr="009069A4">
            <w:rPr>
              <w:rStyle w:val="PlaceholderText"/>
            </w:rPr>
            <w:t>Click or tap here to enter text.</w:t>
          </w:r>
        </w:sdtContent>
      </w:sdt>
    </w:p>
    <w:p w:rsidR="005E6ED3" w:rsidRDefault="005E6ED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5E6ED3" w:rsidRDefault="00DC234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Program Name</w:t>
      </w:r>
      <w:r>
        <w:rPr>
          <w:b/>
          <w:sz w:val="24"/>
          <w:szCs w:val="24"/>
        </w:rPr>
        <w:t xml:space="preserve"> from Official Program Summary:</w:t>
      </w:r>
      <w:r w:rsidR="00AF7B4F">
        <w:rPr>
          <w:b/>
          <w:sz w:val="24"/>
          <w:szCs w:val="24"/>
        </w:rPr>
        <w:t xml:space="preserve"> </w:t>
      </w:r>
      <w:sdt>
        <w:sdtPr>
          <w:rPr>
            <w:rStyle w:val="Style2"/>
          </w:rPr>
          <w:alias w:val="Program Name"/>
          <w:tag w:val="Program Name"/>
          <w:id w:val="1827077481"/>
          <w:placeholder>
            <w:docPart w:val="B99DCF2CF5E948B9B86AC217A95D9FC7"/>
          </w:placeholder>
          <w:showingPlcHdr/>
        </w:sdtPr>
        <w:sdtEndPr>
          <w:rPr>
            <w:rStyle w:val="DefaultParagraphFont"/>
            <w:b/>
            <w:sz w:val="24"/>
            <w:szCs w:val="24"/>
            <w:u w:val="none"/>
          </w:rPr>
        </w:sdtEndPr>
        <w:sdtContent>
          <w:r w:rsidR="00AF7B4F" w:rsidRPr="009069A4">
            <w:rPr>
              <w:rStyle w:val="PlaceholderText"/>
            </w:rPr>
            <w:t>Click or tap here to enter text.</w:t>
          </w:r>
        </w:sdtContent>
      </w:sdt>
    </w:p>
    <w:p w:rsidR="005E6ED3" w:rsidRDefault="005E6ED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5E6ED3" w:rsidRDefault="00DC234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Date of Submission:</w:t>
      </w:r>
      <w:r w:rsidR="00AF7B4F">
        <w:rPr>
          <w:b/>
          <w:sz w:val="24"/>
          <w:szCs w:val="24"/>
        </w:rPr>
        <w:t xml:space="preserve"> </w:t>
      </w:r>
      <w:sdt>
        <w:sdtPr>
          <w:rPr>
            <w:rStyle w:val="Style1"/>
          </w:rPr>
          <w:alias w:val="Choose date"/>
          <w:tag w:val="Choose date"/>
          <w:id w:val="-267551215"/>
          <w:placeholder>
            <w:docPart w:val="849CABA52EE04DE29FC2EE42C8176D0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sz w:val="24"/>
            <w:szCs w:val="24"/>
            <w:u w:val="none"/>
          </w:rPr>
        </w:sdtEndPr>
        <w:sdtContent>
          <w:r w:rsidR="00AF7B4F" w:rsidRPr="009069A4">
            <w:rPr>
              <w:rStyle w:val="PlaceholderText"/>
            </w:rPr>
            <w:t>Click or tap to enter a date.</w:t>
          </w:r>
        </w:sdtContent>
      </w:sdt>
      <w:r>
        <w:rPr>
          <w:b/>
          <w:sz w:val="24"/>
          <w:szCs w:val="24"/>
        </w:rPr>
        <w:t xml:space="preserve"> </w:t>
      </w:r>
    </w:p>
    <w:p w:rsidR="005E6ED3" w:rsidRDefault="005E6E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E6ED3" w:rsidRDefault="00DC2340">
      <w:pPr>
        <w:spacing w:before="14"/>
        <w:ind w:right="105"/>
        <w:rPr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sz w:val="24"/>
          <w:szCs w:val="24"/>
        </w:rPr>
        <w:t>Follow the instructions in “Required Components for Endorsement Application” to complete this descriptive self-rating. Note that to be considered for ASEE Engineering Teacher Professional Development Endorsement, a program must exhibit moderate to high emp</w:t>
      </w:r>
      <w:r>
        <w:rPr>
          <w:sz w:val="24"/>
          <w:szCs w:val="24"/>
        </w:rPr>
        <w:t>hasis on all rows for Standard E.</w:t>
      </w:r>
    </w:p>
    <w:p w:rsidR="005E6ED3" w:rsidRDefault="005E6ED3">
      <w:pPr>
        <w:spacing w:before="14"/>
        <w:ind w:right="105"/>
        <w:rPr>
          <w:sz w:val="16"/>
          <w:szCs w:val="16"/>
        </w:rPr>
      </w:pPr>
    </w:p>
    <w:p w:rsidR="005E6ED3" w:rsidRDefault="00DC2340">
      <w:pPr>
        <w:spacing w:before="20" w:line="220" w:lineRule="auto"/>
        <w:ind w:right="100"/>
        <w:rPr>
          <w:rFonts w:ascii="Arial Narrow" w:eastAsia="Arial Narrow" w:hAnsi="Arial Narrow" w:cs="Arial Narrow"/>
          <w:color w:val="4FA8BC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4FA8BC"/>
          <w:sz w:val="28"/>
          <w:szCs w:val="28"/>
        </w:rPr>
        <w:t xml:space="preserve">Standard E: Alignment to Research, Standards, and Educational Practices: </w:t>
      </w:r>
      <w:r>
        <w:rPr>
          <w:rFonts w:ascii="Arial Narrow" w:eastAsia="Arial Narrow" w:hAnsi="Arial Narrow" w:cs="Arial Narrow"/>
          <w:color w:val="4FA8BC"/>
          <w:sz w:val="28"/>
          <w:szCs w:val="28"/>
        </w:rPr>
        <w:t>Professional development for teachers of engineering should be aligned to current educational research and student learning standards. It should:</w:t>
      </w:r>
    </w:p>
    <w:p w:rsidR="005E6ED3" w:rsidRDefault="005E6ED3">
      <w:pPr>
        <w:spacing w:before="20" w:line="220" w:lineRule="auto"/>
        <w:ind w:right="100"/>
        <w:rPr>
          <w:rFonts w:ascii="Arial Narrow" w:eastAsia="Arial Narrow" w:hAnsi="Arial Narrow" w:cs="Arial Narrow"/>
          <w:color w:val="4FA8BC"/>
          <w:sz w:val="28"/>
          <w:szCs w:val="28"/>
        </w:rPr>
      </w:pPr>
    </w:p>
    <w:p w:rsidR="005E6ED3" w:rsidRDefault="005E6ED3"/>
    <w:tbl>
      <w:tblPr>
        <w:tblStyle w:val="a"/>
        <w:tblW w:w="14535" w:type="dxa"/>
        <w:tblInd w:w="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2883"/>
        <w:gridCol w:w="2884"/>
        <w:gridCol w:w="2884"/>
        <w:gridCol w:w="2884"/>
      </w:tblGrid>
      <w:tr w:rsidR="005E6ED3">
        <w:trPr>
          <w:trHeight w:val="500"/>
        </w:trPr>
        <w:tc>
          <w:tcPr>
            <w:tcW w:w="30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5E6ED3">
            <w:pPr>
              <w:spacing w:before="60"/>
              <w:ind w:left="80"/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FA8BC"/>
          </w:tcPr>
          <w:p w:rsidR="005E6ED3" w:rsidRDefault="00DC2340">
            <w:pPr>
              <w:spacing w:before="63"/>
              <w:ind w:left="81" w:right="207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HI</w:t>
            </w:r>
            <w:r>
              <w:rPr>
                <w:b/>
                <w:color w:val="FFFFFF"/>
                <w:sz w:val="18"/>
                <w:szCs w:val="18"/>
              </w:rPr>
              <w:t>GH EMPHASIS</w:t>
            </w:r>
          </w:p>
        </w:tc>
        <w:tc>
          <w:tcPr>
            <w:tcW w:w="28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FA8BC"/>
          </w:tcPr>
          <w:p w:rsidR="005E6ED3" w:rsidRDefault="00DC2340">
            <w:pPr>
              <w:spacing w:before="63"/>
              <w:ind w:left="79" w:right="103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MODERATE EMPHASIS</w:t>
            </w:r>
          </w:p>
        </w:tc>
        <w:tc>
          <w:tcPr>
            <w:tcW w:w="28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FA8BC"/>
          </w:tcPr>
          <w:p w:rsidR="005E6ED3" w:rsidRDefault="00DC2340">
            <w:pPr>
              <w:spacing w:before="63"/>
              <w:ind w:left="79" w:right="1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LOW EMPHASIS</w:t>
            </w:r>
          </w:p>
        </w:tc>
        <w:tc>
          <w:tcPr>
            <w:tcW w:w="28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FA8BC"/>
          </w:tcPr>
          <w:p w:rsidR="005E6ED3" w:rsidRDefault="00DC2340">
            <w:pPr>
              <w:spacing w:before="63"/>
              <w:ind w:left="79" w:right="11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NO EMPHASIS</w:t>
            </w:r>
          </w:p>
        </w:tc>
      </w:tr>
      <w:tr w:rsidR="005E6ED3">
        <w:trPr>
          <w:trHeight w:val="1740"/>
        </w:trPr>
        <w:tc>
          <w:tcPr>
            <w:tcW w:w="30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ind w:right="8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E1: Be developed and refined in collaboration with experts in the fields of engineering, engineering pedagogy, and teacher professional development;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ind w:right="8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The professional development is designed and refined with input from relevant experts in all three of these fields: engineering, engineering pedagogy, and teacher professional development.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ind w:right="8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The professional development is designed and refined with input fro</w:t>
            </w:r>
            <w:r>
              <w:rPr>
                <w:color w:val="231F20"/>
                <w:sz w:val="16"/>
                <w:szCs w:val="16"/>
              </w:rPr>
              <w:t>m relevant experts in two of these fields: engineering, engineering pedagogy, and teacher professional development.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ind w:right="8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The professional development is designed and refined with input from relevant experts in one of these fields: engineering, engineering pedag</w:t>
            </w:r>
            <w:r>
              <w:rPr>
                <w:color w:val="231F20"/>
                <w:sz w:val="16"/>
                <w:szCs w:val="16"/>
              </w:rPr>
              <w:t>ogy, and teacher professional development.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ind w:right="32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The professional development is designed and refined without</w:t>
            </w:r>
          </w:p>
          <w:p w:rsidR="005E6ED3" w:rsidRDefault="00DC2340">
            <w:pPr>
              <w:ind w:right="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input from relevant experts in any of these fields: engineering, engineering pedagogy, and teacher professional development.</w:t>
            </w:r>
          </w:p>
        </w:tc>
      </w:tr>
      <w:tr w:rsidR="005E6ED3">
        <w:trPr>
          <w:trHeight w:val="960"/>
        </w:trPr>
        <w:tc>
          <w:tcPr>
            <w:tcW w:w="300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5E6ED3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115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DC2340">
            <w:pPr>
              <w:spacing w:before="63"/>
              <w:ind w:left="80" w:right="274"/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Justification of why you chose this level of emphasis:</w:t>
            </w:r>
          </w:p>
        </w:tc>
      </w:tr>
      <w:tr w:rsidR="005E6ED3">
        <w:trPr>
          <w:trHeight w:val="500"/>
        </w:trPr>
        <w:tc>
          <w:tcPr>
            <w:tcW w:w="300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5E6ED3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115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DC2340">
            <w:pPr>
              <w:spacing w:before="63"/>
              <w:ind w:left="80" w:right="274"/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 xml:space="preserve">Link to supporting documentation or video: </w:t>
            </w:r>
          </w:p>
        </w:tc>
      </w:tr>
      <w:tr w:rsidR="005E6ED3">
        <w:trPr>
          <w:trHeight w:val="940"/>
        </w:trPr>
        <w:tc>
          <w:tcPr>
            <w:tcW w:w="30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line="232" w:lineRule="auto"/>
              <w:ind w:right="1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E.2: Be developed and refined in collaboration with stakeholders (e.g., state education agency personnel, school administrators, teachers);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line="232" w:lineRule="auto"/>
              <w:ind w:right="2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The professional development is designed and refined with input from all stakeholder groups.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line="232" w:lineRule="auto"/>
              <w:ind w:right="8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The professional development is designed and refined with input from multiple stakeholder groups.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line="232" w:lineRule="auto"/>
              <w:ind w:right="12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The professional development is designed and refined with input f</w:t>
            </w:r>
            <w:r>
              <w:rPr>
                <w:color w:val="231F20"/>
                <w:sz w:val="16"/>
                <w:szCs w:val="16"/>
              </w:rPr>
              <w:t>rom one stakeholder group.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line="232" w:lineRule="auto"/>
              <w:ind w:right="22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The professional development is designed and refined without input from stakeholder groups.</w:t>
            </w:r>
          </w:p>
        </w:tc>
      </w:tr>
      <w:tr w:rsidR="005E6ED3">
        <w:trPr>
          <w:trHeight w:val="1140"/>
        </w:trPr>
        <w:tc>
          <w:tcPr>
            <w:tcW w:w="300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5E6ED3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115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DC2340">
            <w:pPr>
              <w:spacing w:before="63"/>
              <w:ind w:left="80" w:right="274"/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Justification of why you chose this level of emphasis:</w:t>
            </w:r>
          </w:p>
        </w:tc>
      </w:tr>
      <w:tr w:rsidR="005E6ED3">
        <w:trPr>
          <w:trHeight w:val="500"/>
        </w:trPr>
        <w:tc>
          <w:tcPr>
            <w:tcW w:w="300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5E6ED3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115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DC2340">
            <w:pPr>
              <w:spacing w:before="63"/>
              <w:ind w:left="80" w:right="274"/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 xml:space="preserve">Link to supporting documentation or video: </w:t>
            </w:r>
          </w:p>
        </w:tc>
      </w:tr>
      <w:tr w:rsidR="005E6ED3">
        <w:trPr>
          <w:trHeight w:val="1820"/>
        </w:trPr>
        <w:tc>
          <w:tcPr>
            <w:tcW w:w="30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line="232" w:lineRule="auto"/>
              <w:ind w:right="8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lastRenderedPageBreak/>
              <w:t>E:3: Enable participants to experience the curriculum that they will teach;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line="232" w:lineRule="auto"/>
              <w:ind w:right="8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The professional development engages participants actively in all steps of all learning modules of the curriculum that they will teach.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line="232" w:lineRule="auto"/>
              <w:ind w:right="12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The professional development engages participants actively in all steps of some of the learning </w:t>
            </w:r>
            <w:proofErr w:type="gramStart"/>
            <w:r>
              <w:rPr>
                <w:color w:val="231F20"/>
                <w:sz w:val="16"/>
                <w:szCs w:val="16"/>
              </w:rPr>
              <w:t>module  s</w:t>
            </w:r>
            <w:proofErr w:type="gramEnd"/>
            <w:r>
              <w:rPr>
                <w:color w:val="231F20"/>
                <w:sz w:val="16"/>
                <w:szCs w:val="16"/>
              </w:rPr>
              <w:t xml:space="preserve"> of the curriculum that they will teach. Participants engage in the key components of the remaining modules.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line="232" w:lineRule="auto"/>
              <w:ind w:right="8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The professional development engages parti</w:t>
            </w:r>
            <w:r>
              <w:rPr>
                <w:color w:val="231F20"/>
                <w:sz w:val="16"/>
                <w:szCs w:val="16"/>
              </w:rPr>
              <w:t>cipants actively in some of the learning modules of the curriculum that they will teach. Participants receive information about the remaining modules.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line="232" w:lineRule="auto"/>
              <w:ind w:right="22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The professional development does not engage participants actively in the learning modules of the curricu</w:t>
            </w:r>
            <w:r>
              <w:rPr>
                <w:color w:val="231F20"/>
                <w:sz w:val="16"/>
                <w:szCs w:val="16"/>
              </w:rPr>
              <w:t>lum that they will teach.</w:t>
            </w:r>
          </w:p>
        </w:tc>
      </w:tr>
      <w:tr w:rsidR="005E6ED3">
        <w:trPr>
          <w:trHeight w:val="1060"/>
        </w:trPr>
        <w:tc>
          <w:tcPr>
            <w:tcW w:w="300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5E6ED3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115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DC2340">
            <w:pPr>
              <w:spacing w:before="63"/>
              <w:ind w:left="80" w:right="274"/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Justification of why you chose this level of emphasis:</w:t>
            </w:r>
          </w:p>
        </w:tc>
      </w:tr>
      <w:tr w:rsidR="005E6ED3">
        <w:trPr>
          <w:trHeight w:val="500"/>
        </w:trPr>
        <w:tc>
          <w:tcPr>
            <w:tcW w:w="300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5E6ED3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115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DC2340">
            <w:pPr>
              <w:spacing w:before="63"/>
              <w:ind w:left="80" w:right="274"/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 xml:space="preserve">Link to supporting documentation or video: </w:t>
            </w:r>
          </w:p>
        </w:tc>
      </w:tr>
    </w:tbl>
    <w:p w:rsidR="005E6ED3" w:rsidRDefault="005E6ED3"/>
    <w:tbl>
      <w:tblPr>
        <w:tblStyle w:val="a0"/>
        <w:tblW w:w="14535" w:type="dxa"/>
        <w:tblInd w:w="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2883"/>
        <w:gridCol w:w="2884"/>
        <w:gridCol w:w="2884"/>
        <w:gridCol w:w="2884"/>
      </w:tblGrid>
      <w:tr w:rsidR="005E6ED3">
        <w:trPr>
          <w:trHeight w:val="500"/>
        </w:trPr>
        <w:tc>
          <w:tcPr>
            <w:tcW w:w="30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5E6ED3">
            <w:pPr>
              <w:spacing w:before="60"/>
              <w:ind w:left="80"/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FA8BC"/>
          </w:tcPr>
          <w:p w:rsidR="005E6ED3" w:rsidRDefault="00DC2340">
            <w:pPr>
              <w:spacing w:before="63"/>
              <w:ind w:left="81" w:right="207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HI</w:t>
            </w:r>
            <w:r>
              <w:rPr>
                <w:b/>
                <w:color w:val="FFFFFF"/>
                <w:sz w:val="18"/>
                <w:szCs w:val="18"/>
              </w:rPr>
              <w:t>GH EMPHASIS</w:t>
            </w:r>
          </w:p>
        </w:tc>
        <w:tc>
          <w:tcPr>
            <w:tcW w:w="28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FA8BC"/>
          </w:tcPr>
          <w:p w:rsidR="005E6ED3" w:rsidRDefault="00DC2340">
            <w:pPr>
              <w:spacing w:before="63"/>
              <w:ind w:left="79" w:right="103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MODERATE EMPHASIS</w:t>
            </w:r>
          </w:p>
        </w:tc>
        <w:tc>
          <w:tcPr>
            <w:tcW w:w="28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FA8BC"/>
          </w:tcPr>
          <w:p w:rsidR="005E6ED3" w:rsidRDefault="00DC2340">
            <w:pPr>
              <w:spacing w:before="63"/>
              <w:ind w:left="79" w:right="1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LOW EMPHASIS</w:t>
            </w:r>
          </w:p>
        </w:tc>
        <w:tc>
          <w:tcPr>
            <w:tcW w:w="28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FA8BC"/>
          </w:tcPr>
          <w:p w:rsidR="005E6ED3" w:rsidRDefault="00DC2340">
            <w:pPr>
              <w:spacing w:before="63"/>
              <w:ind w:left="79" w:right="11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NO EMPHASIS</w:t>
            </w:r>
          </w:p>
        </w:tc>
      </w:tr>
      <w:tr w:rsidR="005E6ED3">
        <w:trPr>
          <w:trHeight w:val="1340"/>
        </w:trPr>
        <w:tc>
          <w:tcPr>
            <w:tcW w:w="30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line="232" w:lineRule="auto"/>
              <w:ind w:right="2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E.4: Model effective engineering teaching practices;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line="232" w:lineRule="auto"/>
              <w:ind w:right="2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Professional development providers always employ effective engineering teaching practices while facilitating engineering activities.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line="232" w:lineRule="auto"/>
              <w:ind w:right="12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Professional development providers regularly employ effective engineering teaching practices while facilitating engineering</w:t>
            </w:r>
            <w:r>
              <w:rPr>
                <w:color w:val="231F20"/>
                <w:sz w:val="16"/>
                <w:szCs w:val="16"/>
              </w:rPr>
              <w:t xml:space="preserve"> activities, but sometimes explicitly step outside of such practices.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line="232" w:lineRule="auto"/>
              <w:ind w:right="2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Professional development providers occasionally employ effective engineer- </w:t>
            </w:r>
            <w:proofErr w:type="spellStart"/>
            <w:r>
              <w:rPr>
                <w:color w:val="231F20"/>
                <w:sz w:val="16"/>
                <w:szCs w:val="16"/>
              </w:rPr>
              <w:t>ing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teaching practices while facilitating engineering activities.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line="232" w:lineRule="auto"/>
              <w:ind w:right="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Professional development providers do not emp</w:t>
            </w:r>
            <w:r>
              <w:rPr>
                <w:color w:val="231F20"/>
                <w:sz w:val="16"/>
                <w:szCs w:val="16"/>
              </w:rPr>
              <w:t>loy effective engineering teaching practices while facilitating engineering activities.</w:t>
            </w:r>
          </w:p>
        </w:tc>
      </w:tr>
      <w:tr w:rsidR="005E6ED3">
        <w:trPr>
          <w:trHeight w:val="1220"/>
        </w:trPr>
        <w:tc>
          <w:tcPr>
            <w:tcW w:w="300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5E6ED3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115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DC2340">
            <w:pPr>
              <w:spacing w:before="63"/>
              <w:ind w:left="80" w:right="274"/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Justification of why you chose this level of emphasis:</w:t>
            </w:r>
          </w:p>
        </w:tc>
      </w:tr>
      <w:tr w:rsidR="005E6ED3">
        <w:trPr>
          <w:trHeight w:val="500"/>
        </w:trPr>
        <w:tc>
          <w:tcPr>
            <w:tcW w:w="300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5E6ED3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115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DC2340">
            <w:pPr>
              <w:spacing w:before="63"/>
              <w:ind w:left="80" w:right="274"/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 xml:space="preserve">Link to supporting documentation or video: </w:t>
            </w:r>
          </w:p>
        </w:tc>
      </w:tr>
      <w:tr w:rsidR="005E6ED3">
        <w:trPr>
          <w:trHeight w:val="940"/>
        </w:trPr>
        <w:tc>
          <w:tcPr>
            <w:tcW w:w="30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before="20"/>
              <w:ind w:right="8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E.5: Employ differentiated instruction techniques;</w:t>
            </w:r>
          </w:p>
          <w:p w:rsidR="005E6ED3" w:rsidRDefault="005E6ED3">
            <w:pPr>
              <w:spacing w:before="63"/>
              <w:ind w:left="80" w:right="274"/>
              <w:rPr>
                <w:b/>
                <w:color w:val="231F20"/>
                <w:sz w:val="16"/>
                <w:szCs w:val="16"/>
              </w:rPr>
            </w:pPr>
          </w:p>
          <w:p w:rsidR="005E6ED3" w:rsidRDefault="005E6ED3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before="20"/>
              <w:ind w:right="2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The professional development provider gathers information about the participants’ background or experience in content and pedagogical content knowledge. The professional development implements fully differentiated instruction to meet each participant’s ind</w:t>
            </w:r>
            <w:r>
              <w:rPr>
                <w:color w:val="231F20"/>
                <w:sz w:val="16"/>
                <w:szCs w:val="16"/>
              </w:rPr>
              <w:t>ividual needs.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before="20"/>
              <w:ind w:right="12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The professional development provider gathers information about the participants’ background or experience in content and pedagogical content knowledge. The professional development targets the average participant and provides general sugges</w:t>
            </w:r>
            <w:r>
              <w:rPr>
                <w:color w:val="231F20"/>
                <w:sz w:val="16"/>
                <w:szCs w:val="16"/>
              </w:rPr>
              <w:t>tions for others.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before="20"/>
              <w:ind w:right="20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The professional development provider gathers information about the participants’ background or experience in content and pedagogical content knowledge. The professional development targets the average participant.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before="20"/>
              <w:ind w:right="12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The professional develo</w:t>
            </w:r>
            <w:r>
              <w:rPr>
                <w:color w:val="231F20"/>
                <w:sz w:val="16"/>
                <w:szCs w:val="16"/>
              </w:rPr>
              <w:t>pment provider makes no attempt to assess or account for the participants’ background or experience in content and pedagogical content knowledge.</w:t>
            </w:r>
          </w:p>
        </w:tc>
      </w:tr>
      <w:tr w:rsidR="005E6ED3">
        <w:trPr>
          <w:trHeight w:val="1140"/>
        </w:trPr>
        <w:tc>
          <w:tcPr>
            <w:tcW w:w="300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5E6ED3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115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DC2340">
            <w:pPr>
              <w:spacing w:before="63"/>
              <w:ind w:left="80" w:right="274"/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Justification of why you chose this level of emphasis:</w:t>
            </w:r>
          </w:p>
        </w:tc>
      </w:tr>
      <w:tr w:rsidR="005E6ED3">
        <w:trPr>
          <w:trHeight w:val="500"/>
        </w:trPr>
        <w:tc>
          <w:tcPr>
            <w:tcW w:w="300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5E6ED3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115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DC2340">
            <w:pPr>
              <w:spacing w:before="63"/>
              <w:ind w:left="80" w:right="274"/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 xml:space="preserve">Link to supporting documentation or video: </w:t>
            </w:r>
          </w:p>
        </w:tc>
      </w:tr>
      <w:tr w:rsidR="005E6ED3">
        <w:trPr>
          <w:trHeight w:val="1620"/>
        </w:trPr>
        <w:tc>
          <w:tcPr>
            <w:tcW w:w="30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line="232" w:lineRule="auto"/>
              <w:ind w:right="8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E.6: Be guided by formative assessment;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line="232" w:lineRule="auto"/>
              <w:ind w:right="2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The professional development includes formative assessment or checks for participants’ understand- </w:t>
            </w:r>
            <w:proofErr w:type="spellStart"/>
            <w:r>
              <w:rPr>
                <w:color w:val="231F20"/>
                <w:sz w:val="16"/>
                <w:szCs w:val="16"/>
              </w:rPr>
              <w:t>ing</w:t>
            </w:r>
            <w:proofErr w:type="spellEnd"/>
            <w:r>
              <w:rPr>
                <w:color w:val="231F20"/>
                <w:sz w:val="16"/>
                <w:szCs w:val="16"/>
              </w:rPr>
              <w:t>, and the professional development is modified for each participant based on these individual results.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line="232" w:lineRule="auto"/>
              <w:ind w:right="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The professional development includes formative assessment or checks for participants’ understand- </w:t>
            </w:r>
            <w:proofErr w:type="spellStart"/>
            <w:r>
              <w:rPr>
                <w:color w:val="231F20"/>
                <w:sz w:val="16"/>
                <w:szCs w:val="16"/>
              </w:rPr>
              <w:t>ing</w:t>
            </w:r>
            <w:proofErr w:type="spellEnd"/>
            <w:r>
              <w:rPr>
                <w:color w:val="231F20"/>
                <w:sz w:val="16"/>
                <w:szCs w:val="16"/>
              </w:rPr>
              <w:t>, and the professional development is modified based on these aggregated results.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line="232" w:lineRule="auto"/>
              <w:ind w:right="2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The professional development includes formative assessment or checks for</w:t>
            </w:r>
            <w:r>
              <w:rPr>
                <w:color w:val="231F20"/>
                <w:sz w:val="16"/>
                <w:szCs w:val="16"/>
              </w:rPr>
              <w:t xml:space="preserve"> participants’ understanding, but the results do not shape or modify the professional development.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line="232" w:lineRule="auto"/>
              <w:ind w:right="20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The professional development does not include formative assessments or checks for participants’ understanding.</w:t>
            </w:r>
          </w:p>
        </w:tc>
      </w:tr>
      <w:tr w:rsidR="005E6ED3">
        <w:trPr>
          <w:trHeight w:val="1160"/>
        </w:trPr>
        <w:tc>
          <w:tcPr>
            <w:tcW w:w="300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5E6ED3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115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DC2340">
            <w:pPr>
              <w:spacing w:before="63"/>
              <w:ind w:left="80" w:right="274"/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Justification of why you chose this level of emphasis:</w:t>
            </w:r>
          </w:p>
        </w:tc>
      </w:tr>
      <w:tr w:rsidR="005E6ED3">
        <w:trPr>
          <w:trHeight w:val="500"/>
        </w:trPr>
        <w:tc>
          <w:tcPr>
            <w:tcW w:w="300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5E6ED3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115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DC2340">
            <w:pPr>
              <w:spacing w:before="63"/>
              <w:ind w:left="80" w:right="274"/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 xml:space="preserve">Link to supporting documentation or video: </w:t>
            </w:r>
          </w:p>
        </w:tc>
      </w:tr>
    </w:tbl>
    <w:p w:rsidR="005E6ED3" w:rsidRDefault="005E6ED3"/>
    <w:tbl>
      <w:tblPr>
        <w:tblStyle w:val="a1"/>
        <w:tblW w:w="14535" w:type="dxa"/>
        <w:tblInd w:w="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2883"/>
        <w:gridCol w:w="2884"/>
        <w:gridCol w:w="2884"/>
        <w:gridCol w:w="2884"/>
      </w:tblGrid>
      <w:tr w:rsidR="005E6ED3">
        <w:trPr>
          <w:trHeight w:val="500"/>
        </w:trPr>
        <w:tc>
          <w:tcPr>
            <w:tcW w:w="30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5E6ED3">
            <w:pPr>
              <w:spacing w:before="60"/>
              <w:ind w:left="80"/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FA8BC"/>
          </w:tcPr>
          <w:p w:rsidR="005E6ED3" w:rsidRDefault="00DC2340">
            <w:pPr>
              <w:spacing w:before="63"/>
              <w:ind w:left="81" w:right="207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HI</w:t>
            </w:r>
            <w:bookmarkStart w:id="1" w:name="_GoBack"/>
            <w:bookmarkEnd w:id="1"/>
            <w:r>
              <w:rPr>
                <w:b/>
                <w:color w:val="FFFFFF"/>
                <w:sz w:val="18"/>
                <w:szCs w:val="18"/>
              </w:rPr>
              <w:t>GH EMPHASIS</w:t>
            </w:r>
          </w:p>
        </w:tc>
        <w:tc>
          <w:tcPr>
            <w:tcW w:w="28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FA8BC"/>
          </w:tcPr>
          <w:p w:rsidR="005E6ED3" w:rsidRDefault="00DC2340">
            <w:pPr>
              <w:spacing w:before="63"/>
              <w:ind w:left="79" w:right="103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MODERATE EMPHASIS</w:t>
            </w:r>
          </w:p>
        </w:tc>
        <w:tc>
          <w:tcPr>
            <w:tcW w:w="28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FA8BC"/>
          </w:tcPr>
          <w:p w:rsidR="005E6ED3" w:rsidRDefault="00DC2340">
            <w:pPr>
              <w:spacing w:before="63"/>
              <w:ind w:left="79" w:right="1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LOW EMPHASIS</w:t>
            </w:r>
          </w:p>
        </w:tc>
        <w:tc>
          <w:tcPr>
            <w:tcW w:w="28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FA8BC"/>
          </w:tcPr>
          <w:p w:rsidR="005E6ED3" w:rsidRDefault="00DC2340">
            <w:pPr>
              <w:spacing w:before="63"/>
              <w:ind w:left="79" w:right="11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NO EMPHASIS</w:t>
            </w:r>
          </w:p>
        </w:tc>
      </w:tr>
      <w:tr w:rsidR="005E6ED3">
        <w:trPr>
          <w:trHeight w:val="1340"/>
        </w:trPr>
        <w:tc>
          <w:tcPr>
            <w:tcW w:w="30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line="232" w:lineRule="auto"/>
              <w:ind w:right="2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E.7: Encourage risk-taking by participants;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line="232" w:lineRule="auto"/>
              <w:ind w:right="10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The professional development provides a safe place that encourages ongoing intellectual risk taking by the participants.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line="232" w:lineRule="auto"/>
              <w:ind w:right="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The professional development provides a safe place that encourages occasional intellectual risk taking by the participants.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line="232" w:lineRule="auto"/>
              <w:ind w:right="16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The profess</w:t>
            </w:r>
            <w:r>
              <w:rPr>
                <w:color w:val="231F20"/>
                <w:sz w:val="16"/>
                <w:szCs w:val="16"/>
              </w:rPr>
              <w:t>ional development does not overtly encourage intellectual risk taking.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line="232" w:lineRule="auto"/>
              <w:ind w:right="20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The professional development discourages intellectual risk taking.</w:t>
            </w:r>
          </w:p>
        </w:tc>
      </w:tr>
      <w:tr w:rsidR="005E6ED3">
        <w:trPr>
          <w:trHeight w:val="1220"/>
        </w:trPr>
        <w:tc>
          <w:tcPr>
            <w:tcW w:w="300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5E6ED3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115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DC2340">
            <w:pPr>
              <w:spacing w:before="63"/>
              <w:ind w:left="80" w:right="274"/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Justification of why you chose this level of emphasis:</w:t>
            </w:r>
          </w:p>
        </w:tc>
      </w:tr>
      <w:tr w:rsidR="005E6ED3">
        <w:trPr>
          <w:trHeight w:val="500"/>
        </w:trPr>
        <w:tc>
          <w:tcPr>
            <w:tcW w:w="300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5E6ED3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115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DC2340">
            <w:pPr>
              <w:spacing w:before="63"/>
              <w:ind w:left="80" w:right="274"/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 xml:space="preserve">Link to supporting documentation or video: </w:t>
            </w:r>
          </w:p>
        </w:tc>
      </w:tr>
      <w:tr w:rsidR="005E6ED3">
        <w:trPr>
          <w:trHeight w:val="940"/>
        </w:trPr>
        <w:tc>
          <w:tcPr>
            <w:tcW w:w="300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E.8: Be longitudinal; and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line="232" w:lineRule="auto"/>
              <w:ind w:right="18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The professional development requires continued engagement with participants over time.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line="232" w:lineRule="auto"/>
              <w:ind w:right="8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The professional development offers multiple opportunities for continued engagement.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line="232" w:lineRule="auto"/>
              <w:ind w:right="18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The professional development offers limited opportunities for continued engagement.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spacing w:line="232" w:lineRule="auto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The professional development does not offer opportunities for continued engagement.</w:t>
            </w:r>
          </w:p>
        </w:tc>
      </w:tr>
      <w:tr w:rsidR="005E6ED3">
        <w:trPr>
          <w:trHeight w:val="1140"/>
        </w:trPr>
        <w:tc>
          <w:tcPr>
            <w:tcW w:w="300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5E6ED3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115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DC2340">
            <w:pPr>
              <w:spacing w:before="63"/>
              <w:ind w:left="80" w:right="274"/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Justification of why you chose this level of emphasis:</w:t>
            </w:r>
          </w:p>
        </w:tc>
      </w:tr>
      <w:tr w:rsidR="005E6ED3">
        <w:trPr>
          <w:trHeight w:val="500"/>
        </w:trPr>
        <w:tc>
          <w:tcPr>
            <w:tcW w:w="300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5E6ED3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115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DC2340">
            <w:pPr>
              <w:spacing w:before="63"/>
              <w:ind w:left="80" w:right="274"/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 xml:space="preserve">Link to supporting documentation or video: </w:t>
            </w:r>
          </w:p>
        </w:tc>
      </w:tr>
      <w:tr w:rsidR="005E6ED3">
        <w:trPr>
          <w:trHeight w:val="1620"/>
        </w:trPr>
        <w:tc>
          <w:tcPr>
            <w:tcW w:w="30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ind w:right="8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E.9: Evolve through a process of continuous improvement that employs ongoing evaluation, assessment and revision.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ind w:right="8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Professional development provider collects sufficient and relevant data before, during and after </w:t>
            </w:r>
            <w:r>
              <w:rPr>
                <w:color w:val="231F20"/>
                <w:sz w:val="16"/>
                <w:szCs w:val="16"/>
              </w:rPr>
              <w:t>the professional development; analyzes these data; and employs the results of this analysis to inform improvements.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ind w:right="2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Professional development provider collects sufficient and relevant data before, during and after the professional development.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ind w:right="8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Professional development provider collects data before, during and/or after the professional development, but it is insufficient to inform improvements.</w:t>
            </w:r>
          </w:p>
        </w:tc>
        <w:tc>
          <w:tcPr>
            <w:tcW w:w="28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ED3" w:rsidRDefault="00DC2340">
            <w:pPr>
              <w:ind w:right="12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Professional development provider does not collect data to inform improvements.</w:t>
            </w:r>
          </w:p>
        </w:tc>
      </w:tr>
      <w:tr w:rsidR="005E6ED3">
        <w:trPr>
          <w:trHeight w:val="1160"/>
        </w:trPr>
        <w:tc>
          <w:tcPr>
            <w:tcW w:w="30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5E6ED3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115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DC2340">
            <w:pPr>
              <w:spacing w:before="63"/>
              <w:ind w:left="80" w:right="274"/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 xml:space="preserve">Justification of why </w:t>
            </w:r>
            <w:r>
              <w:rPr>
                <w:b/>
                <w:color w:val="231F20"/>
                <w:sz w:val="16"/>
                <w:szCs w:val="16"/>
              </w:rPr>
              <w:t>you chose this level of emphasis:</w:t>
            </w:r>
          </w:p>
        </w:tc>
      </w:tr>
      <w:tr w:rsidR="005E6ED3">
        <w:trPr>
          <w:trHeight w:val="500"/>
        </w:trPr>
        <w:tc>
          <w:tcPr>
            <w:tcW w:w="30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5E6ED3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115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ED3" w:rsidRDefault="00DC2340">
            <w:pPr>
              <w:spacing w:before="63"/>
              <w:ind w:left="80" w:right="274"/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 xml:space="preserve">Link to supporting documentation or video: </w:t>
            </w:r>
          </w:p>
        </w:tc>
      </w:tr>
    </w:tbl>
    <w:p w:rsidR="005E6ED3" w:rsidRDefault="005E6ED3">
      <w:pPr>
        <w:rPr>
          <w:rFonts w:ascii="Arial Narrow" w:eastAsia="Arial Narrow" w:hAnsi="Arial Narrow" w:cs="Arial Narrow"/>
          <w:color w:val="4FA8BC"/>
          <w:sz w:val="28"/>
          <w:szCs w:val="28"/>
        </w:rPr>
      </w:pPr>
    </w:p>
    <w:p w:rsidR="005E6ED3" w:rsidRDefault="005E6ED3">
      <w:pPr>
        <w:rPr>
          <w:rFonts w:ascii="Arial Narrow" w:eastAsia="Arial Narrow" w:hAnsi="Arial Narrow" w:cs="Arial Narrow"/>
          <w:color w:val="4FA8BC"/>
          <w:sz w:val="28"/>
          <w:szCs w:val="28"/>
        </w:rPr>
      </w:pPr>
    </w:p>
    <w:sectPr w:rsidR="005E6ED3" w:rsidSect="00AF7B4F">
      <w:type w:val="continuous"/>
      <w:pgSz w:w="15840" w:h="12240"/>
      <w:pgMar w:top="576" w:right="604" w:bottom="431" w:left="806" w:header="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2340">
      <w:r>
        <w:separator/>
      </w:r>
    </w:p>
  </w:endnote>
  <w:endnote w:type="continuationSeparator" w:id="0">
    <w:p w:rsidR="00000000" w:rsidRDefault="00DC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4F" w:rsidRDefault="00AF7B4F" w:rsidP="00AF7B4F">
    <w:pPr>
      <w:pStyle w:val="Footer"/>
      <w:jc w:val="center"/>
    </w:pPr>
    <w:r w:rsidRPr="003B7784">
      <w:rPr>
        <w:b/>
      </w:rPr>
      <w:t>E</w:t>
    </w:r>
    <w:r>
      <w:t xml:space="preserve">ndorsement of </w:t>
    </w:r>
    <w:r w:rsidRPr="003B7784">
      <w:rPr>
        <w:b/>
      </w:rPr>
      <w:t>E</w:t>
    </w:r>
    <w:r>
      <w:t xml:space="preserve">ngineering </w:t>
    </w:r>
    <w:r w:rsidRPr="003B7784">
      <w:rPr>
        <w:b/>
      </w:rPr>
      <w:t>T</w:t>
    </w:r>
    <w:r>
      <w:t xml:space="preserve">eacher </w:t>
    </w:r>
    <w:r w:rsidRPr="003B7784">
      <w:rPr>
        <w:b/>
      </w:rPr>
      <w:t>P</w:t>
    </w:r>
    <w:r>
      <w:t xml:space="preserve">rofessional </w:t>
    </w:r>
    <w:r w:rsidRPr="003B7784">
      <w:rPr>
        <w:b/>
      </w:rPr>
      <w:t>D</w:t>
    </w:r>
    <w:r>
      <w:t>evelopment (EETPD)</w:t>
    </w:r>
  </w:p>
  <w:p w:rsidR="00AF7B4F" w:rsidRDefault="00AF7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2340">
      <w:r>
        <w:separator/>
      </w:r>
    </w:p>
  </w:footnote>
  <w:footnote w:type="continuationSeparator" w:id="0">
    <w:p w:rsidR="00000000" w:rsidRDefault="00DC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ED3" w:rsidRDefault="00AF7B4F">
    <w:pPr>
      <w:pStyle w:val="Title"/>
      <w:jc w:val="center"/>
      <w:rPr>
        <w:sz w:val="40"/>
        <w:szCs w:val="40"/>
      </w:rPr>
    </w:pPr>
    <w:bookmarkStart w:id="0" w:name="_unxxyvw0co83" w:colFirst="0" w:colLast="0"/>
    <w:bookmarkEnd w:id="0"/>
    <w:r w:rsidRPr="003D6842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E229874" wp14:editId="703F728E">
          <wp:simplePos x="0" y="0"/>
          <wp:positionH relativeFrom="column">
            <wp:posOffset>3952875</wp:posOffset>
          </wp:positionH>
          <wp:positionV relativeFrom="paragraph">
            <wp:posOffset>123190</wp:posOffset>
          </wp:positionV>
          <wp:extent cx="1019175" cy="276860"/>
          <wp:effectExtent l="0" t="0" r="9525" b="889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E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br/>
    </w:r>
    <w:r w:rsidR="00DC2340">
      <w:rPr>
        <w:sz w:val="40"/>
        <w:szCs w:val="40"/>
      </w:rPr>
      <w:br/>
    </w:r>
    <w:r w:rsidR="00DC2340">
      <w:rPr>
        <w:sz w:val="40"/>
        <w:szCs w:val="40"/>
      </w:rPr>
      <w:t>DOCUMENT #4: SELF-RATING ON PROGRAM QUALITY INDICATORS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ehKU10JNq5NCWaRnQwsJnqi8dhkS/tAIoSrg5yMp2vgOv+NtEFR30I47/EKje45zl2jedYWeQ5rTGuphmLJzA==" w:salt="PsoXt889DPjfxIEm6JGw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D3"/>
    <w:rsid w:val="005E6ED3"/>
    <w:rsid w:val="008A7A9D"/>
    <w:rsid w:val="00AF7B4F"/>
    <w:rsid w:val="00B75F7A"/>
    <w:rsid w:val="00D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6093"/>
  <w15:docId w15:val="{A2D55478-9483-4BB8-A47F-F4EA9438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7B4F"/>
    <w:rPr>
      <w:color w:val="808080"/>
    </w:rPr>
  </w:style>
  <w:style w:type="character" w:customStyle="1" w:styleId="Style1">
    <w:name w:val="Style1"/>
    <w:basedOn w:val="DefaultParagraphFont"/>
    <w:uiPriority w:val="1"/>
    <w:rsid w:val="00AF7B4F"/>
    <w:rPr>
      <w:u w:val="single"/>
    </w:rPr>
  </w:style>
  <w:style w:type="character" w:customStyle="1" w:styleId="Style2">
    <w:name w:val="Style2"/>
    <w:basedOn w:val="DefaultParagraphFont"/>
    <w:uiPriority w:val="1"/>
    <w:rsid w:val="00AF7B4F"/>
    <w:rPr>
      <w:u w:val="single"/>
    </w:rPr>
  </w:style>
  <w:style w:type="character" w:customStyle="1" w:styleId="Style3">
    <w:name w:val="Style3"/>
    <w:basedOn w:val="DefaultParagraphFont"/>
    <w:uiPriority w:val="1"/>
    <w:rsid w:val="00AF7B4F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F7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B4F"/>
  </w:style>
  <w:style w:type="paragraph" w:styleId="Footer">
    <w:name w:val="footer"/>
    <w:basedOn w:val="Normal"/>
    <w:link w:val="FooterChar"/>
    <w:uiPriority w:val="99"/>
    <w:unhideWhenUsed/>
    <w:rsid w:val="00AF7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EA843F65794B9E95BC6D6315597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C52A-BDF3-4158-8EB3-1C3EB0EF4F80}"/>
      </w:docPartPr>
      <w:docPartBody>
        <w:p w:rsidR="00000000" w:rsidRDefault="006611F1" w:rsidP="006611F1">
          <w:pPr>
            <w:pStyle w:val="ECEA843F65794B9E95BC6D6315597773"/>
          </w:pPr>
          <w:r w:rsidRPr="009069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DCF2CF5E948B9B86AC217A95D9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8129-C062-473B-B8EE-C3C8FD540795}"/>
      </w:docPartPr>
      <w:docPartBody>
        <w:p w:rsidR="00000000" w:rsidRDefault="006611F1" w:rsidP="006611F1">
          <w:pPr>
            <w:pStyle w:val="B99DCF2CF5E948B9B86AC217A95D9FC7"/>
          </w:pPr>
          <w:r w:rsidRPr="009069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CABA52EE04DE29FC2EE42C8176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42B3-C34A-4DF6-B11B-5F959B3E96A6}"/>
      </w:docPartPr>
      <w:docPartBody>
        <w:p w:rsidR="00000000" w:rsidRDefault="006611F1" w:rsidP="006611F1">
          <w:pPr>
            <w:pStyle w:val="849CABA52EE04DE29FC2EE42C8176D08"/>
          </w:pPr>
          <w:r w:rsidRPr="009069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F1"/>
    <w:rsid w:val="006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1F1"/>
    <w:rPr>
      <w:color w:val="808080"/>
    </w:rPr>
  </w:style>
  <w:style w:type="paragraph" w:customStyle="1" w:styleId="ECEA843F65794B9E95BC6D6315597773">
    <w:name w:val="ECEA843F65794B9E95BC6D6315597773"/>
    <w:rsid w:val="006611F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9DCF2CF5E948B9B86AC217A95D9FC7">
    <w:name w:val="B99DCF2CF5E948B9B86AC217A95D9FC7"/>
    <w:rsid w:val="006611F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9CABA52EE04DE29FC2EE42C8176D08">
    <w:name w:val="849CABA52EE04DE29FC2EE42C8176D08"/>
    <w:rsid w:val="006611F1"/>
    <w:pPr>
      <w:widowControl w:val="0"/>
      <w:spacing w:after="0" w:line="240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Gooding</dc:creator>
  <cp:lastModifiedBy>Geraldine Gooding</cp:lastModifiedBy>
  <cp:revision>3</cp:revision>
  <dcterms:created xsi:type="dcterms:W3CDTF">2019-03-05T19:42:00Z</dcterms:created>
  <dcterms:modified xsi:type="dcterms:W3CDTF">2019-03-05T19:47:00Z</dcterms:modified>
</cp:coreProperties>
</file>